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Кузминой Кристины Владимировны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6094798)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LibreOffice/7.5.2.1$Linux_X86_64 LibreOffice_project/50$Build-1</Application>
  <AppVersion>15.0000</AppVersion>
  <Pages>33</Pages>
  <Words>6408</Words>
  <Characters>45085</Characters>
  <CharactersWithSpaces>51082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2024-10-17T23:53:34Z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